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75E" w:rsidRPr="002D175E" w:rsidRDefault="002D175E" w:rsidP="002D175E">
      <w:pPr>
        <w:spacing w:before="100" w:beforeAutospacing="1" w:after="100" w:afterAutospacing="1" w:line="240" w:lineRule="auto"/>
        <w:outlineLvl w:val="0"/>
        <w:rPr>
          <w:rFonts w:ascii="Times New Roman" w:eastAsia="Times New Roman" w:hAnsi="Times New Roman" w:cs="Times New Roman"/>
          <w:b/>
          <w:bCs/>
          <w:kern w:val="36"/>
          <w:sz w:val="48"/>
          <w:szCs w:val="48"/>
          <w:lang w:eastAsia="es-DO"/>
        </w:rPr>
      </w:pPr>
      <w:r w:rsidRPr="002D175E">
        <w:rPr>
          <w:rFonts w:ascii="Times New Roman" w:eastAsia="Times New Roman" w:hAnsi="Times New Roman" w:cs="Times New Roman"/>
          <w:b/>
          <w:bCs/>
          <w:kern w:val="36"/>
          <w:sz w:val="48"/>
          <w:szCs w:val="48"/>
          <w:lang w:eastAsia="es-DO"/>
        </w:rPr>
        <w:t>GT21 – Corrupción, Violencia Social, Seguridad y Defensa</w:t>
      </w:r>
      <w:r>
        <w:rPr>
          <w:rFonts w:ascii="Times New Roman" w:eastAsia="Times New Roman" w:hAnsi="Times New Roman" w:cs="Times New Roman"/>
          <w:b/>
          <w:bCs/>
          <w:kern w:val="36"/>
          <w:sz w:val="48"/>
          <w:szCs w:val="48"/>
          <w:lang w:eastAsia="es-DO"/>
        </w:rPr>
        <w:t>.</w:t>
      </w:r>
    </w:p>
    <w:p w:rsidR="002D175E" w:rsidRPr="002D175E" w:rsidRDefault="002D175E" w:rsidP="002D175E">
      <w:p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Pr>
          <w:rFonts w:ascii="Times New Roman" w:eastAsia="Times New Roman" w:hAnsi="Times New Roman" w:cs="Times New Roman"/>
          <w:b/>
          <w:bCs/>
          <w:sz w:val="24"/>
          <w:szCs w:val="24"/>
          <w:lang w:eastAsia="es-DO"/>
        </w:rPr>
        <w:t>Equipo de coordinación</w:t>
      </w:r>
      <w:r w:rsidRPr="002D175E">
        <w:rPr>
          <w:rFonts w:ascii="Times New Roman" w:eastAsia="Times New Roman" w:hAnsi="Times New Roman" w:cs="Times New Roman"/>
          <w:b/>
          <w:bCs/>
          <w:sz w:val="24"/>
          <w:szCs w:val="24"/>
          <w:lang w:eastAsia="es-DO"/>
        </w:rPr>
        <w:t>:</w:t>
      </w:r>
    </w:p>
    <w:p w:rsidR="002D175E" w:rsidRPr="002D175E" w:rsidRDefault="00A4510C" w:rsidP="002D175E">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hyperlink r:id="rId5" w:history="1">
        <w:r w:rsidR="002D175E" w:rsidRPr="002D175E">
          <w:rPr>
            <w:rFonts w:ascii="Times New Roman" w:eastAsia="Times New Roman" w:hAnsi="Times New Roman" w:cs="Times New Roman"/>
            <w:bCs/>
            <w:sz w:val="24"/>
            <w:szCs w:val="24"/>
            <w:lang w:eastAsia="es-DO"/>
          </w:rPr>
          <w:t>Alexander Gamba</w:t>
        </w:r>
      </w:hyperlink>
      <w:r w:rsidR="002D175E" w:rsidRPr="002D175E">
        <w:rPr>
          <w:rFonts w:ascii="Times New Roman" w:eastAsia="Times New Roman" w:hAnsi="Times New Roman" w:cs="Times New Roman"/>
          <w:bCs/>
          <w:sz w:val="24"/>
          <w:szCs w:val="24"/>
          <w:lang w:eastAsia="es-DO"/>
        </w:rPr>
        <w:t xml:space="preserve"> (Colombia)</w:t>
      </w:r>
    </w:p>
    <w:p w:rsidR="002D175E" w:rsidRPr="002D175E" w:rsidRDefault="00A4510C" w:rsidP="002D175E">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hyperlink r:id="rId6" w:history="1">
        <w:r w:rsidR="002D175E" w:rsidRPr="002D175E">
          <w:rPr>
            <w:rFonts w:ascii="Times New Roman" w:eastAsia="Times New Roman" w:hAnsi="Times New Roman" w:cs="Times New Roman"/>
            <w:bCs/>
            <w:sz w:val="24"/>
            <w:szCs w:val="24"/>
            <w:lang w:eastAsia="es-DO"/>
          </w:rPr>
          <w:t>César Barreira</w:t>
        </w:r>
      </w:hyperlink>
      <w:r w:rsidR="002D175E" w:rsidRPr="002D175E">
        <w:rPr>
          <w:rFonts w:ascii="Times New Roman" w:eastAsia="Times New Roman" w:hAnsi="Times New Roman" w:cs="Times New Roman"/>
          <w:bCs/>
          <w:sz w:val="24"/>
          <w:szCs w:val="24"/>
          <w:lang w:eastAsia="es-DO"/>
        </w:rPr>
        <w:t xml:space="preserve"> (Brasil)</w:t>
      </w:r>
    </w:p>
    <w:p w:rsidR="002D175E" w:rsidRPr="002D175E" w:rsidRDefault="00A4510C" w:rsidP="002D175E">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hyperlink r:id="rId7" w:history="1">
        <w:r w:rsidR="002D175E" w:rsidRPr="002D175E">
          <w:rPr>
            <w:rFonts w:ascii="Times New Roman" w:eastAsia="Times New Roman" w:hAnsi="Times New Roman" w:cs="Times New Roman"/>
            <w:bCs/>
            <w:sz w:val="24"/>
            <w:szCs w:val="24"/>
            <w:lang w:eastAsia="es-DO"/>
          </w:rPr>
          <w:t>Lucía Carmina Jasso</w:t>
        </w:r>
      </w:hyperlink>
      <w:r w:rsidR="002D175E" w:rsidRPr="002D175E">
        <w:rPr>
          <w:rFonts w:ascii="Times New Roman" w:eastAsia="Times New Roman" w:hAnsi="Times New Roman" w:cs="Times New Roman"/>
          <w:bCs/>
          <w:sz w:val="24"/>
          <w:szCs w:val="24"/>
          <w:lang w:eastAsia="es-DO"/>
        </w:rPr>
        <w:t xml:space="preserve"> (México)</w:t>
      </w:r>
    </w:p>
    <w:p w:rsidR="002D175E" w:rsidRDefault="002D175E" w:rsidP="002D175E">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rsidRPr="002D175E">
        <w:rPr>
          <w:rFonts w:ascii="Times New Roman" w:eastAsia="Times New Roman" w:hAnsi="Times New Roman" w:cs="Times New Roman"/>
          <w:sz w:val="24"/>
          <w:szCs w:val="24"/>
          <w:lang w:eastAsia="es-DO"/>
        </w:rPr>
        <w:t>Celedonio Jiménez Santos (República Dominicana)</w:t>
      </w:r>
    </w:p>
    <w:p w:rsidR="002E2192" w:rsidRDefault="002E2192" w:rsidP="002D175E">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rPr>
          <w:rFonts w:ascii="Times New Roman" w:eastAsia="Times New Roman" w:hAnsi="Times New Roman" w:cs="Times New Roman"/>
          <w:sz w:val="24"/>
          <w:szCs w:val="24"/>
          <w:lang w:eastAsia="es-DO"/>
        </w:rPr>
        <w:t xml:space="preserve">Danilo P. Clime </w:t>
      </w:r>
      <w:r w:rsidRPr="002D175E">
        <w:rPr>
          <w:rFonts w:ascii="Times New Roman" w:eastAsia="Times New Roman" w:hAnsi="Times New Roman" w:cs="Times New Roman"/>
          <w:sz w:val="24"/>
          <w:szCs w:val="24"/>
          <w:lang w:eastAsia="es-DO"/>
        </w:rPr>
        <w:t>(República Dominicana)</w:t>
      </w:r>
      <w:r>
        <w:rPr>
          <w:rFonts w:ascii="Times New Roman" w:eastAsia="Times New Roman" w:hAnsi="Times New Roman" w:cs="Times New Roman"/>
          <w:sz w:val="24"/>
          <w:szCs w:val="24"/>
          <w:lang w:eastAsia="es-DO"/>
        </w:rPr>
        <w:t xml:space="preserve"> </w:t>
      </w:r>
    </w:p>
    <w:p w:rsidR="00A4510C" w:rsidRPr="00A4510C" w:rsidRDefault="00A4510C" w:rsidP="00A4510C">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rsidRPr="00A4510C">
        <w:rPr>
          <w:rFonts w:ascii="Times New Roman" w:eastAsia="Times New Roman" w:hAnsi="Times New Roman" w:cs="Times New Roman"/>
          <w:sz w:val="24"/>
          <w:szCs w:val="24"/>
          <w:lang w:eastAsia="es-DO"/>
        </w:rPr>
        <w:t>Dulvis Mejía</w:t>
      </w:r>
      <w:r>
        <w:rPr>
          <w:rFonts w:ascii="Times New Roman" w:eastAsia="Times New Roman" w:hAnsi="Times New Roman" w:cs="Times New Roman"/>
          <w:sz w:val="24"/>
          <w:szCs w:val="24"/>
          <w:lang w:eastAsia="es-DO"/>
        </w:rPr>
        <w:t xml:space="preserve"> </w:t>
      </w:r>
      <w:r w:rsidRPr="002D175E">
        <w:rPr>
          <w:rFonts w:ascii="Times New Roman" w:eastAsia="Times New Roman" w:hAnsi="Times New Roman" w:cs="Times New Roman"/>
          <w:sz w:val="24"/>
          <w:szCs w:val="24"/>
          <w:lang w:eastAsia="es-DO"/>
        </w:rPr>
        <w:t>(República Dominicana)</w:t>
      </w:r>
      <w:r>
        <w:rPr>
          <w:rFonts w:ascii="Times New Roman" w:eastAsia="Times New Roman" w:hAnsi="Times New Roman" w:cs="Times New Roman"/>
          <w:sz w:val="24"/>
          <w:szCs w:val="24"/>
          <w:lang w:eastAsia="es-DO"/>
        </w:rPr>
        <w:t xml:space="preserve"> </w:t>
      </w:r>
      <w:bookmarkStart w:id="0" w:name="_GoBack"/>
      <w:bookmarkEnd w:id="0"/>
    </w:p>
    <w:p w:rsidR="002D175E" w:rsidRPr="002D175E" w:rsidRDefault="002D175E" w:rsidP="002D175E">
      <w:p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sidRPr="002D175E">
        <w:rPr>
          <w:rFonts w:ascii="Times New Roman" w:eastAsia="Times New Roman" w:hAnsi="Times New Roman" w:cs="Times New Roman"/>
          <w:b/>
          <w:bCs/>
          <w:sz w:val="24"/>
          <w:szCs w:val="24"/>
          <w:lang w:eastAsia="es-DO"/>
        </w:rPr>
        <w:t>Resumen:</w:t>
      </w:r>
    </w:p>
    <w:p w:rsidR="002D175E" w:rsidRPr="002D175E" w:rsidRDefault="002D175E" w:rsidP="002D175E">
      <w:pPr>
        <w:spacing w:before="100" w:beforeAutospacing="1" w:after="100" w:afterAutospacing="1" w:line="240" w:lineRule="auto"/>
        <w:rPr>
          <w:rFonts w:ascii="Times New Roman" w:eastAsia="Times New Roman" w:hAnsi="Times New Roman" w:cs="Times New Roman"/>
          <w:sz w:val="24"/>
          <w:szCs w:val="24"/>
          <w:lang w:eastAsia="es-DO"/>
        </w:rPr>
      </w:pPr>
      <w:r w:rsidRPr="002D175E">
        <w:rPr>
          <w:rFonts w:ascii="Times New Roman" w:eastAsia="Times New Roman" w:hAnsi="Times New Roman" w:cs="Times New Roman"/>
          <w:sz w:val="24"/>
          <w:szCs w:val="24"/>
          <w:lang w:eastAsia="es-DO"/>
        </w:rPr>
        <w:t>El GT aborda dos grandes dinámicas. Por una parte, las violencias, el crimen y los distintos esquemas de seguridad nacional, seguridad pública y seguridad ciudadana, que repercuten en la securitización y la policialización de la vida, así como procesos con predominio militar (Fuerzas Armadas) en el diseño de una arquitectura para la seguridad y la defensa hemisférica.</w:t>
      </w:r>
    </w:p>
    <w:p w:rsidR="002D175E" w:rsidRPr="002D175E" w:rsidRDefault="002D175E" w:rsidP="002D175E">
      <w:pPr>
        <w:spacing w:before="100" w:beforeAutospacing="1" w:after="100" w:afterAutospacing="1" w:line="240" w:lineRule="auto"/>
        <w:rPr>
          <w:rFonts w:ascii="Times New Roman" w:eastAsia="Times New Roman" w:hAnsi="Times New Roman" w:cs="Times New Roman"/>
          <w:sz w:val="24"/>
          <w:szCs w:val="24"/>
          <w:lang w:eastAsia="es-DO"/>
        </w:rPr>
      </w:pPr>
      <w:r w:rsidRPr="002D175E">
        <w:rPr>
          <w:rFonts w:ascii="Times New Roman" w:eastAsia="Times New Roman" w:hAnsi="Times New Roman" w:cs="Times New Roman"/>
          <w:sz w:val="24"/>
          <w:szCs w:val="24"/>
          <w:lang w:eastAsia="es-DO"/>
        </w:rPr>
        <w:t>Por otra parte, el GT atiende la corrupción y la impunidad, señalando las graves consecuencias para la sociedad en general de este fenómeno, con las diferentes formas de violencia que estas generan. Estas vienen minando las bases sobre las que descansa la legitimidad y el funcionamiento de los estados nacionales y dificultan la construcción de sociedades inclusivas y democráticas en América Latina.</w:t>
      </w:r>
    </w:p>
    <w:p w:rsidR="002D175E" w:rsidRPr="002D175E" w:rsidRDefault="002D175E" w:rsidP="002D175E">
      <w:pPr>
        <w:spacing w:before="100" w:beforeAutospacing="1" w:after="100" w:afterAutospacing="1" w:line="240" w:lineRule="auto"/>
        <w:rPr>
          <w:rFonts w:ascii="Times New Roman" w:eastAsia="Times New Roman" w:hAnsi="Times New Roman" w:cs="Times New Roman"/>
          <w:sz w:val="24"/>
          <w:szCs w:val="24"/>
          <w:lang w:eastAsia="es-DO"/>
        </w:rPr>
      </w:pPr>
      <w:r w:rsidRPr="002D175E">
        <w:rPr>
          <w:rFonts w:ascii="Times New Roman" w:eastAsia="Times New Roman" w:hAnsi="Times New Roman" w:cs="Times New Roman"/>
          <w:sz w:val="24"/>
          <w:szCs w:val="24"/>
          <w:lang w:eastAsia="es-DO"/>
        </w:rPr>
        <w:t>El objetivo central del grupo consiste en reflexionar sobre los problemas aquí mencionados, así como en identificar, evidenciar y conceptualizar su comprensión desde las ciencias sociales, para generar salidas y posibilidades a las encrucijadas presentadas. El propósito también es crear un espacio de trabajo permanente. Hacemos explícito nuestro compromiso con políticas públicas que garanticen la vigencia del Estado democrático.</w:t>
      </w:r>
    </w:p>
    <w:p w:rsidR="002D175E" w:rsidRPr="002D175E" w:rsidRDefault="002D175E" w:rsidP="002D175E">
      <w:p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sidRPr="002D175E">
        <w:rPr>
          <w:rFonts w:ascii="Times New Roman" w:eastAsia="Times New Roman" w:hAnsi="Times New Roman" w:cs="Times New Roman"/>
          <w:b/>
          <w:bCs/>
          <w:sz w:val="24"/>
          <w:szCs w:val="24"/>
          <w:lang w:eastAsia="es-DO"/>
        </w:rPr>
        <w:t>Líneas temáticas:</w:t>
      </w:r>
    </w:p>
    <w:p w:rsidR="002D175E" w:rsidRPr="002D175E" w:rsidRDefault="002D175E" w:rsidP="002D175E">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2D175E">
        <w:rPr>
          <w:rFonts w:ascii="Times New Roman" w:eastAsia="Times New Roman" w:hAnsi="Times New Roman" w:cs="Times New Roman"/>
          <w:sz w:val="24"/>
          <w:szCs w:val="24"/>
          <w:lang w:eastAsia="es-DO"/>
        </w:rPr>
        <w:t>Violencia: Enfoques teóricos y violencia estructural. Diversas formas de violencia: armada, política, social, familiar, de género,</w:t>
      </w:r>
      <w:r w:rsidR="00A12990">
        <w:rPr>
          <w:rFonts w:ascii="Times New Roman" w:eastAsia="Times New Roman" w:hAnsi="Times New Roman" w:cs="Times New Roman"/>
          <w:sz w:val="24"/>
          <w:szCs w:val="24"/>
          <w:lang w:eastAsia="es-DO"/>
        </w:rPr>
        <w:t xml:space="preserve"> sexualidades,</w:t>
      </w:r>
      <w:r w:rsidRPr="002D175E">
        <w:rPr>
          <w:rFonts w:ascii="Times New Roman" w:eastAsia="Times New Roman" w:hAnsi="Times New Roman" w:cs="Times New Roman"/>
          <w:sz w:val="24"/>
          <w:szCs w:val="24"/>
          <w:lang w:eastAsia="es-DO"/>
        </w:rPr>
        <w:t xml:space="preserve"> cultural, y simbólica.</w:t>
      </w:r>
    </w:p>
    <w:p w:rsidR="002D175E" w:rsidRPr="002D175E" w:rsidRDefault="002D175E" w:rsidP="002D175E">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2D175E">
        <w:rPr>
          <w:rFonts w:ascii="Times New Roman" w:eastAsia="Times New Roman" w:hAnsi="Times New Roman" w:cs="Times New Roman"/>
          <w:sz w:val="24"/>
          <w:szCs w:val="24"/>
          <w:lang w:eastAsia="es-DO"/>
        </w:rPr>
        <w:t>Criminalidad y crimen organizado: Enfoques aplicados en América Latina. Formas sociales, prácticas públicas y poderes fácticos, vínculos con la institucionalidad: historia y desarrollo del crimen y el crimen organizado. Impacto en la economía, la política y el tejido social. La criminalidad y el miedo como instrumento de control social: la construcción de imaginarios y sus implicaciones en la vida cotidiana, así como para la libertad y la democracia.</w:t>
      </w:r>
    </w:p>
    <w:p w:rsidR="002D175E" w:rsidRPr="002D175E" w:rsidRDefault="002D175E" w:rsidP="002D175E">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2D175E">
        <w:rPr>
          <w:rFonts w:ascii="Times New Roman" w:eastAsia="Times New Roman" w:hAnsi="Times New Roman" w:cs="Times New Roman"/>
          <w:sz w:val="24"/>
          <w:szCs w:val="24"/>
          <w:lang w:eastAsia="es-DO"/>
        </w:rPr>
        <w:t>Seguridad y defensa: Diferentes doctrinas, conceptos, modelos e instrumentos regionales, aplicados en América Latina, entre ellos la seguridad nacional, la seguridad pública y la seguridad ciudadana.</w:t>
      </w:r>
    </w:p>
    <w:p w:rsidR="002D175E" w:rsidRPr="002D175E" w:rsidRDefault="002D175E" w:rsidP="002D175E">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2D175E">
        <w:rPr>
          <w:rFonts w:ascii="Times New Roman" w:eastAsia="Times New Roman" w:hAnsi="Times New Roman" w:cs="Times New Roman"/>
          <w:sz w:val="24"/>
          <w:szCs w:val="24"/>
          <w:lang w:eastAsia="es-DO"/>
        </w:rPr>
        <w:t>Actores de la seguridad: Las fuerzas armadas y policiales, y la arquitectura actual para la seguridad hemisférica. Lo público y lo civil de la seguridad. Formas ciudadanas de seguridad, justicia y autodefensa.</w:t>
      </w:r>
    </w:p>
    <w:p w:rsidR="002D175E" w:rsidRPr="002D175E" w:rsidRDefault="002D175E" w:rsidP="002D175E">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2D175E">
        <w:rPr>
          <w:rFonts w:ascii="Times New Roman" w:eastAsia="Times New Roman" w:hAnsi="Times New Roman" w:cs="Times New Roman"/>
          <w:sz w:val="24"/>
          <w:szCs w:val="24"/>
          <w:lang w:eastAsia="es-DO"/>
        </w:rPr>
        <w:lastRenderedPageBreak/>
        <w:t>Corrupción e impunidad: Prácticas institucionales, actores principales, formas, símbolos, estructuras, redes, incidencia en el tejido social vinculados a la corrupción e impunidad.</w:t>
      </w:r>
    </w:p>
    <w:p w:rsidR="002D175E" w:rsidRPr="002D175E" w:rsidRDefault="002D175E" w:rsidP="002D175E">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2D175E">
        <w:rPr>
          <w:rFonts w:ascii="Times New Roman" w:eastAsia="Times New Roman" w:hAnsi="Times New Roman" w:cs="Times New Roman"/>
          <w:sz w:val="24"/>
          <w:szCs w:val="24"/>
          <w:lang w:eastAsia="es-DO"/>
        </w:rPr>
        <w:t>Violencia, dinámicas y prácticas delictivas durante y después de la pandemia de Covid-19.</w:t>
      </w:r>
    </w:p>
    <w:p w:rsidR="00381CE3" w:rsidRDefault="002D175E">
      <w:r>
        <w:t xml:space="preserve"> </w:t>
      </w:r>
    </w:p>
    <w:sectPr w:rsidR="00381C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404D07"/>
    <w:multiLevelType w:val="multilevel"/>
    <w:tmpl w:val="B66CF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035607"/>
    <w:multiLevelType w:val="multilevel"/>
    <w:tmpl w:val="12406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35D7AE9"/>
    <w:multiLevelType w:val="multilevel"/>
    <w:tmpl w:val="04FEE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75E"/>
    <w:rsid w:val="002D175E"/>
    <w:rsid w:val="002E2192"/>
    <w:rsid w:val="00381CE3"/>
    <w:rsid w:val="00A12990"/>
    <w:rsid w:val="00A4510C"/>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9C844-0590-4DD7-824A-709A28C6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538638">
      <w:bodyDiv w:val="1"/>
      <w:marLeft w:val="0"/>
      <w:marRight w:val="0"/>
      <w:marTop w:val="0"/>
      <w:marBottom w:val="0"/>
      <w:divBdr>
        <w:top w:val="none" w:sz="0" w:space="0" w:color="auto"/>
        <w:left w:val="none" w:sz="0" w:space="0" w:color="auto"/>
        <w:bottom w:val="none" w:sz="0" w:space="0" w:color="auto"/>
        <w:right w:val="none" w:sz="0" w:space="0" w:color="auto"/>
      </w:divBdr>
      <w:divsChild>
        <w:div w:id="517233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las2022.com/lucia-carmina-jasso-lope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s2022.com/cesar-barreira/" TargetMode="External"/><Relationship Id="rId5" Type="http://schemas.openxmlformats.org/officeDocument/2006/relationships/hyperlink" Target="https://www.alas2022.com/alexander-gamba-trimin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464</Words>
  <Characters>2553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2023-11-20T12:40:00Z</dcterms:created>
  <dcterms:modified xsi:type="dcterms:W3CDTF">2023-12-13T12:27:00Z</dcterms:modified>
</cp:coreProperties>
</file>